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2" w:type="dxa"/>
        <w:tblCellSpacing w:w="0" w:type="dxa"/>
        <w:tblCellMar>
          <w:left w:w="0" w:type="dxa"/>
          <w:right w:w="0" w:type="dxa"/>
        </w:tblCellMar>
        <w:tblLook w:val="04A0" w:firstRow="1" w:lastRow="0" w:firstColumn="1" w:lastColumn="0" w:noHBand="0" w:noVBand="1"/>
      </w:tblPr>
      <w:tblGrid>
        <w:gridCol w:w="3510"/>
        <w:gridCol w:w="6642"/>
      </w:tblGrid>
      <w:tr w:rsidR="007B2DD4" w:rsidRPr="007B2DD4" w:rsidTr="007B2DD4">
        <w:trPr>
          <w:tblCellSpacing w:w="0" w:type="dxa"/>
        </w:trPr>
        <w:tc>
          <w:tcPr>
            <w:tcW w:w="3510" w:type="dxa"/>
            <w:tcMar>
              <w:top w:w="0" w:type="dxa"/>
              <w:left w:w="108" w:type="dxa"/>
              <w:bottom w:w="0" w:type="dxa"/>
              <w:right w:w="108" w:type="dxa"/>
            </w:tcMa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rPr>
              <w:t>HỘI ĐỒNG</w:t>
            </w:r>
            <w:r w:rsidRPr="007B2DD4">
              <w:rPr>
                <w:rFonts w:eastAsia="Times New Roman" w:cs="Times New Roman"/>
                <w:b/>
                <w:bCs/>
                <w:szCs w:val="24"/>
                <w:shd w:val="clear" w:color="auto" w:fill="FFFFFF"/>
                <w:lang w:val="vi-VN"/>
              </w:rPr>
              <w:t> NHÂN DÂN</w:t>
            </w:r>
            <w:r w:rsidRPr="007B2DD4">
              <w:rPr>
                <w:rFonts w:eastAsia="Times New Roman" w:cs="Times New Roman"/>
                <w:b/>
                <w:bCs/>
                <w:szCs w:val="24"/>
                <w:shd w:val="clear" w:color="auto" w:fill="FFFFFF"/>
                <w:lang w:val="vi-VN"/>
              </w:rPr>
              <w:br/>
              <w:t>THÀNH PHỐ HÀ NỘI</w:t>
            </w:r>
            <w:r w:rsidRPr="007B2DD4">
              <w:rPr>
                <w:rFonts w:eastAsia="Times New Roman" w:cs="Times New Roman"/>
                <w:b/>
                <w:bCs/>
                <w:szCs w:val="24"/>
                <w:lang w:val="vi-VN"/>
              </w:rPr>
              <w:br/>
              <w:t>-------</w:t>
            </w:r>
          </w:p>
        </w:tc>
        <w:tc>
          <w:tcPr>
            <w:tcW w:w="6642" w:type="dxa"/>
            <w:tcMar>
              <w:top w:w="0" w:type="dxa"/>
              <w:left w:w="108" w:type="dxa"/>
              <w:bottom w:w="0" w:type="dxa"/>
              <w:right w:w="108" w:type="dxa"/>
            </w:tcMa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lang w:val="vi-VN"/>
              </w:rPr>
              <w:t>CỘNG HÒA XÃ HỘI CHỦ NGHĨA VIỆT NAM</w:t>
            </w:r>
            <w:r w:rsidRPr="007B2DD4">
              <w:rPr>
                <w:rFonts w:eastAsia="Times New Roman" w:cs="Times New Roman"/>
                <w:b/>
                <w:bCs/>
                <w:szCs w:val="24"/>
                <w:lang w:val="vi-VN"/>
              </w:rPr>
              <w:br/>
              <w:t>Độc lập - Tự do - Hạnh phúc</w:t>
            </w:r>
            <w:r w:rsidRPr="007B2DD4">
              <w:rPr>
                <w:rFonts w:eastAsia="Times New Roman" w:cs="Times New Roman"/>
                <w:b/>
                <w:bCs/>
                <w:szCs w:val="24"/>
                <w:lang w:val="vi-VN"/>
              </w:rPr>
              <w:br/>
              <w:t>---------------</w:t>
            </w:r>
          </w:p>
        </w:tc>
      </w:tr>
      <w:tr w:rsidR="007B2DD4" w:rsidRPr="007B2DD4" w:rsidTr="007B2DD4">
        <w:trPr>
          <w:tblCellSpacing w:w="0" w:type="dxa"/>
        </w:trPr>
        <w:tc>
          <w:tcPr>
            <w:tcW w:w="3510" w:type="dxa"/>
            <w:tcMar>
              <w:top w:w="0" w:type="dxa"/>
              <w:left w:w="108" w:type="dxa"/>
              <w:bottom w:w="0" w:type="dxa"/>
              <w:right w:w="108" w:type="dxa"/>
            </w:tcMa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lang w:val="vi-VN"/>
              </w:rPr>
              <w:t>Số: </w:t>
            </w:r>
            <w:r w:rsidRPr="007B2DD4">
              <w:rPr>
                <w:rFonts w:eastAsia="Times New Roman" w:cs="Times New Roman"/>
                <w:szCs w:val="24"/>
                <w:shd w:val="clear" w:color="auto" w:fill="FFFFFF"/>
                <w:lang w:val="vi-VN"/>
              </w:rPr>
              <w:t>18/2022/NQ-HĐND</w:t>
            </w:r>
          </w:p>
        </w:tc>
        <w:tc>
          <w:tcPr>
            <w:tcW w:w="6642" w:type="dxa"/>
            <w:tcMar>
              <w:top w:w="0" w:type="dxa"/>
              <w:left w:w="108" w:type="dxa"/>
              <w:bottom w:w="0" w:type="dxa"/>
              <w:right w:w="108" w:type="dxa"/>
            </w:tcMar>
            <w:hideMark/>
          </w:tcPr>
          <w:p w:rsidR="007B2DD4" w:rsidRPr="007B2DD4" w:rsidRDefault="007B2DD4" w:rsidP="007B2DD4">
            <w:pPr>
              <w:spacing w:before="120" w:after="120" w:line="234" w:lineRule="atLeast"/>
              <w:jc w:val="right"/>
              <w:rPr>
                <w:rFonts w:eastAsia="Times New Roman" w:cs="Times New Roman"/>
                <w:szCs w:val="24"/>
              </w:rPr>
            </w:pPr>
            <w:r w:rsidRPr="007B2DD4">
              <w:rPr>
                <w:rFonts w:eastAsia="Times New Roman" w:cs="Times New Roman"/>
                <w:i/>
                <w:iCs/>
                <w:szCs w:val="24"/>
                <w:shd w:val="clear" w:color="auto" w:fill="FFFFFF"/>
                <w:lang w:val="vi-VN"/>
              </w:rPr>
              <w:t>Hà Nội, ngày 12 tháng 9 năm 2022</w:t>
            </w:r>
          </w:p>
        </w:tc>
      </w:tr>
    </w:tbl>
    <w:p w:rsidR="007B2DD4" w:rsidRPr="007B2DD4" w:rsidRDefault="007B2DD4" w:rsidP="007B2DD4">
      <w:pPr>
        <w:shd w:val="clear" w:color="auto" w:fill="FFFFFF"/>
        <w:spacing w:before="120" w:after="120" w:line="234" w:lineRule="atLeast"/>
        <w:jc w:val="center"/>
        <w:rPr>
          <w:rFonts w:eastAsia="Times New Roman" w:cs="Times New Roman"/>
          <w:color w:val="000000"/>
          <w:sz w:val="18"/>
          <w:szCs w:val="18"/>
        </w:rPr>
      </w:pPr>
      <w:r w:rsidRPr="007B2DD4">
        <w:rPr>
          <w:rFonts w:eastAsia="Times New Roman" w:cs="Times New Roman"/>
          <w:b/>
          <w:bCs/>
          <w:color w:val="000000"/>
          <w:sz w:val="18"/>
          <w:szCs w:val="18"/>
          <w:shd w:val="clear" w:color="auto" w:fill="FFFFFF"/>
        </w:rPr>
        <w:t> </w:t>
      </w:r>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bookmarkStart w:id="0" w:name="loai_1"/>
      <w:r w:rsidRPr="007B2DD4">
        <w:rPr>
          <w:rFonts w:eastAsia="Times New Roman" w:cs="Times New Roman"/>
          <w:b/>
          <w:bCs/>
          <w:color w:val="000000"/>
          <w:sz w:val="28"/>
          <w:szCs w:val="28"/>
          <w:shd w:val="clear" w:color="auto" w:fill="FFFFFF"/>
          <w:lang w:val="vi-VN"/>
        </w:rPr>
        <w:t>NGHỊ QUYẾT</w:t>
      </w:r>
      <w:bookmarkEnd w:id="0"/>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bookmarkStart w:id="1" w:name="loai_1_name"/>
      <w:r w:rsidRPr="007B2DD4">
        <w:rPr>
          <w:rFonts w:eastAsia="Times New Roman" w:cs="Times New Roman"/>
          <w:color w:val="000000"/>
          <w:sz w:val="28"/>
          <w:szCs w:val="28"/>
          <w:shd w:val="clear" w:color="auto" w:fill="FFFFFF"/>
          <w:lang w:val="vi-VN"/>
        </w:rPr>
        <w:t>QUY ĐỊNH CƠ CHẾ HỖ TRỢ HỌC PHÍ ĐỐI VỚI MỘT SỐ ĐỐI TƯỢNG TRẺ EM MẦM NON VÀ HỌC SINH PHỔ THÔNG CỦA THÀNH PHỐ HÀ NỘI NĂM HỌC 2022-2023</w:t>
      </w:r>
      <w:bookmarkEnd w:id="1"/>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b/>
          <w:bCs/>
          <w:color w:val="000000"/>
          <w:sz w:val="28"/>
          <w:szCs w:val="28"/>
          <w:shd w:val="clear" w:color="auto" w:fill="FFFFFF"/>
          <w:lang w:val="vi-VN"/>
        </w:rPr>
        <w:t>HỘI ĐỒNG NHÂN DÂN THÀNH PHỐ HÀ NỘI</w:t>
      </w:r>
      <w:r w:rsidRPr="007B2DD4">
        <w:rPr>
          <w:rFonts w:eastAsia="Times New Roman" w:cs="Times New Roman"/>
          <w:b/>
          <w:bCs/>
          <w:color w:val="000000"/>
          <w:sz w:val="28"/>
          <w:szCs w:val="28"/>
          <w:shd w:val="clear" w:color="auto" w:fill="FFFFFF"/>
          <w:lang w:val="vi-VN"/>
        </w:rPr>
        <w:br/>
        <w:t>KHÓA XVI KỲ HỌP THỨ 9</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i/>
          <w:iCs/>
          <w:color w:val="000000"/>
          <w:sz w:val="28"/>
          <w:szCs w:val="28"/>
          <w:shd w:val="clear" w:color="auto" w:fill="FFFFFF"/>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i/>
          <w:iCs/>
          <w:color w:val="000000"/>
          <w:sz w:val="28"/>
          <w:szCs w:val="28"/>
          <w:shd w:val="clear" w:color="auto" w:fill="FFFFFF"/>
          <w:lang w:val="vi-VN"/>
        </w:rPr>
        <w:t>Căn cứ Luật Ban hành văn bản quy phạm pháp luật ngày 22 ngày 6 năm 2015; Luật sửa đổi, bổ sung một số điều của Luật Ban hành văn bản quy phạm pháp luật ngày 18 tháng 6 năm 2020;</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i/>
          <w:iCs/>
          <w:color w:val="000000"/>
          <w:sz w:val="28"/>
          <w:szCs w:val="28"/>
          <w:shd w:val="clear" w:color="auto" w:fill="FFFFFF"/>
          <w:lang w:val="vi-VN"/>
        </w:rPr>
        <w:t>Căn cứ Luật Ngân sách nhà nước ngày 25 tháng 6 năm 2015;</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i/>
          <w:iCs/>
          <w:color w:val="000000"/>
          <w:sz w:val="28"/>
          <w:szCs w:val="28"/>
          <w:shd w:val="clear" w:color="auto" w:fill="FFFFFF"/>
          <w:lang w:val="vi-VN"/>
        </w:rPr>
        <w:t>Căn cứ Luật Giáo dục ngày 14 tháng 6 năm 2019;</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i/>
          <w:iCs/>
          <w:color w:val="000000"/>
          <w:sz w:val="28"/>
          <w:szCs w:val="28"/>
          <w:shd w:val="clear" w:color="auto" w:fill="FFFFFF"/>
          <w:lang w:val="vi-VN"/>
        </w:rPr>
        <w:t>Căn cứ Luật Thủ đô ngày 21 tháng 11 năm 2012;</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i/>
          <w:iCs/>
          <w:color w:val="000000"/>
          <w:sz w:val="28"/>
          <w:szCs w:val="28"/>
          <w:shd w:val="clear" w:color="auto" w:fill="FFFFFF"/>
          <w:lang w:val="vi-VN"/>
        </w:rPr>
        <w:t>Căn cứ Nghị định </w:t>
      </w:r>
      <w:r w:rsidRPr="007B2DD4">
        <w:rPr>
          <w:rFonts w:eastAsia="Times New Roman" w:cs="Times New Roman"/>
          <w:i/>
          <w:iCs/>
          <w:color w:val="000000"/>
          <w:sz w:val="28"/>
          <w:szCs w:val="28"/>
          <w:shd w:val="clear" w:color="auto" w:fill="FFFFFF"/>
        </w:rPr>
        <w:t>số </w:t>
      </w:r>
      <w:r w:rsidRPr="007B2DD4">
        <w:rPr>
          <w:rFonts w:eastAsia="Times New Roman" w:cs="Times New Roman"/>
          <w:i/>
          <w:iCs/>
          <w:color w:val="000000"/>
          <w:sz w:val="28"/>
          <w:szCs w:val="28"/>
          <w:shd w:val="clear" w:color="auto" w:fill="FFFFFF"/>
          <w:lang w:val="vi-VN"/>
        </w:rPr>
        <w:t>163/2016/NĐ-CP ngày 21 tháng 12 năm 2016 của Chính phủ quy định chi tiết thi hành một số điều của Luật Ngân sách nhà nước 2015,</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i/>
          <w:iCs/>
          <w:color w:val="000000"/>
          <w:sz w:val="28"/>
          <w:szCs w:val="28"/>
          <w:shd w:val="clear" w:color="auto" w:fill="FFFFFF"/>
          <w:lang w:val="vi-VN"/>
        </w:rPr>
        <w:t>Căn cứ Nghị định số 81/2021/NĐ-CP ngày 29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i/>
          <w:iCs/>
          <w:color w:val="000000"/>
          <w:sz w:val="28"/>
          <w:szCs w:val="28"/>
          <w:shd w:val="clear" w:color="auto" w:fill="FFFFFF"/>
          <w:lang w:val="vi-VN"/>
        </w:rPr>
        <w:t>Xét Tờ trình số 287/TTr-UBND ngày 31 tháng 8 năm 2022 của Ủy ban nhân dân Thành phố về việc dự thảo Nghị quyết quy định cơ chế hỗ trợ học phí đối với một số đối tượng trẻ em mầm non và học sinh phổ thông của thành phố Hà Nội năm học 2022-2023; Báo cáo thẩm tra </w:t>
      </w:r>
      <w:r w:rsidRPr="007B2DD4">
        <w:rPr>
          <w:rFonts w:eastAsia="Times New Roman" w:cs="Times New Roman"/>
          <w:i/>
          <w:iCs/>
          <w:color w:val="000000"/>
          <w:sz w:val="28"/>
          <w:szCs w:val="28"/>
          <w:shd w:val="clear" w:color="auto" w:fill="FFFFFF"/>
        </w:rPr>
        <w:t>số </w:t>
      </w:r>
      <w:r w:rsidRPr="007B2DD4">
        <w:rPr>
          <w:rFonts w:eastAsia="Times New Roman" w:cs="Times New Roman"/>
          <w:i/>
          <w:iCs/>
          <w:color w:val="000000"/>
          <w:sz w:val="28"/>
          <w:szCs w:val="28"/>
          <w:shd w:val="clear" w:color="auto" w:fill="FFFFFF"/>
          <w:lang w:val="vi-VN"/>
        </w:rPr>
        <w:t>58/BC-VHXH ngày 09 tháng 9 năm 2022 của Ban Văn hóa - Xã hội Hội đồng nhân dân Thành phố; Báo cáo giải trình, tiếp thu số 331/BC-UBND ngày 12 tháng 9 năm 2022 của Ủy ban nhân dân Thành phố; Ý kiến thảo luận và kết quả biểu quyết của đại biểu Hội đồng nhân dân Thành phố tại kỳ họp.</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b/>
          <w:bCs/>
          <w:color w:val="000000"/>
          <w:sz w:val="28"/>
          <w:szCs w:val="28"/>
          <w:shd w:val="clear" w:color="auto" w:fill="FFFFFF"/>
          <w:lang w:val="vi-VN"/>
        </w:rPr>
        <w:t>QUYẾT NGHỊ:</w:t>
      </w:r>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bookmarkStart w:id="2" w:name="dieu_1"/>
      <w:r w:rsidRPr="007B2DD4">
        <w:rPr>
          <w:rFonts w:eastAsia="Times New Roman" w:cs="Times New Roman"/>
          <w:b/>
          <w:bCs/>
          <w:color w:val="000000"/>
          <w:sz w:val="28"/>
          <w:szCs w:val="28"/>
          <w:shd w:val="clear" w:color="auto" w:fill="FFFFFF"/>
          <w:lang w:val="vi-VN"/>
        </w:rPr>
        <w:t>Điều 1. Phạm vi điều chỉnh và đối tượng áp dụng</w:t>
      </w:r>
      <w:bookmarkEnd w:id="2"/>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1. Phạm vi điều chỉnh</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lastRenderedPageBreak/>
        <w:t>Nghị quyết này quy định cơ chế hỗ trợ học phí đối với một số đối tượng trẻ em mầm non, học sinh phổ thông, học viên các trung tâm giáo dục nghề nghiệp - giáo dục thường xuyên theo chương trình giáo dục phổ thông của thành phố Hà Nội năm học 2022-2023.</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2. Đối tượng áp dụng</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a) Trẻ em mầm non và học sinh phổ thông đang theo học tại các cơ sở giáo dục mầm non, giáo dục phổ thông công lập của thành phố Hà Nội trên địa bàn các xã miền núi.</w:t>
      </w:r>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b) Trẻ em mầm non và học sinh phổ thông thuộc đối tượng được giảm học phí theo quy định tại khoản 1, khoản 2 Điều 16 Nghị định số </w:t>
      </w:r>
      <w:hyperlink r:id="rId5" w:tgtFrame="_blank" w:tooltip="Nghị định 81/2021/NĐ-CP" w:history="1">
        <w:r w:rsidRPr="007B2DD4">
          <w:rPr>
            <w:rFonts w:eastAsia="Times New Roman" w:cs="Times New Roman"/>
            <w:color w:val="0E70C3"/>
            <w:sz w:val="28"/>
            <w:szCs w:val="28"/>
            <w:u w:val="single"/>
            <w:shd w:val="clear" w:color="auto" w:fill="FFFFFF"/>
            <w:lang w:val="vi-VN"/>
          </w:rPr>
          <w:t>81/2021/NĐ-CP</w:t>
        </w:r>
      </w:hyperlink>
      <w:r w:rsidRPr="007B2DD4">
        <w:rPr>
          <w:rFonts w:eastAsia="Times New Roman" w:cs="Times New Roman"/>
          <w:color w:val="000000"/>
          <w:sz w:val="28"/>
          <w:szCs w:val="28"/>
          <w:shd w:val="clear" w:color="auto" w:fill="FFFFFF"/>
          <w:lang w:val="vi-VN"/>
        </w:rPr>
        <w:t> ngày 27 tháng 8 năm 2021 của Chính phủ (không bao gồm các đối tượng quy định tại điểm a khoản 2 Điều 1) đang theo học tại các cơ sở giáo dục mầm non, giáo dục phổ thông của thành phố Hà Nội; học viên thuộc đối tượng được giảm học phí theo quy định tại khoản 1, khoản 2 Điều 16 Nghị định số </w:t>
      </w:r>
      <w:hyperlink r:id="rId6" w:tgtFrame="_blank" w:tooltip="Nghị định 81/2021/NĐ-CP" w:history="1">
        <w:r w:rsidRPr="007B2DD4">
          <w:rPr>
            <w:rFonts w:eastAsia="Times New Roman" w:cs="Times New Roman"/>
            <w:color w:val="0E70C3"/>
            <w:sz w:val="28"/>
            <w:szCs w:val="28"/>
            <w:u w:val="single"/>
            <w:shd w:val="clear" w:color="auto" w:fill="FFFFFF"/>
            <w:lang w:val="vi-VN"/>
          </w:rPr>
          <w:t>81/2021/NĐ-CP</w:t>
        </w:r>
      </w:hyperlink>
      <w:r w:rsidRPr="007B2DD4">
        <w:rPr>
          <w:rFonts w:eastAsia="Times New Roman" w:cs="Times New Roman"/>
          <w:color w:val="000000"/>
          <w:sz w:val="28"/>
          <w:szCs w:val="28"/>
          <w:shd w:val="clear" w:color="auto" w:fill="FFFFFF"/>
          <w:lang w:val="vi-VN"/>
        </w:rPr>
        <w:t> ngày 27 tháng 8 năm 2021 của Chính phủ đang theo học tại các trung tâm giáo dục nghề nghiệp - giáo dục thường xuyên theo chương trình giáo dục phổ thông của thành phố Hà Nội.</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c) Các cơ sở giáo dục mầm non và giáo dục phổ thông, các trung tâm giáo dục nghề nghiệp - giáo dục thường xuyên của thành phố Hà Nội có đối tượng theo học quy định tại điểm a, b khoản 2 Điều 1 của Nghị quyết này.</w:t>
      </w:r>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Các đối tượng quy định tại điểm a, b khoản 2 Điều 1 của Nghị quyết này đã hưởng chế độ không phải đóng học phí, miễn học phí theo quy định tại Điều 14, Điều 15 Nghị định số </w:t>
      </w:r>
      <w:hyperlink r:id="rId7" w:tgtFrame="_blank" w:tooltip="Nghị định 81/2021/NĐ-CP" w:history="1">
        <w:r w:rsidRPr="007B2DD4">
          <w:rPr>
            <w:rFonts w:eastAsia="Times New Roman" w:cs="Times New Roman"/>
            <w:color w:val="0E70C3"/>
            <w:sz w:val="28"/>
            <w:szCs w:val="28"/>
            <w:u w:val="single"/>
            <w:shd w:val="clear" w:color="auto" w:fill="FFFFFF"/>
            <w:lang w:val="vi-VN"/>
          </w:rPr>
          <w:t>81/2021/NĐ-CP</w:t>
        </w:r>
      </w:hyperlink>
      <w:r w:rsidRPr="007B2DD4">
        <w:rPr>
          <w:rFonts w:eastAsia="Times New Roman" w:cs="Times New Roman"/>
          <w:color w:val="000000"/>
          <w:sz w:val="28"/>
          <w:szCs w:val="28"/>
          <w:shd w:val="clear" w:color="auto" w:fill="FFFFFF"/>
          <w:lang w:val="vi-VN"/>
        </w:rPr>
        <w:t> ngày 27 tháng 8 năm 2021 của Chính phủ và các văn bản liên quan sẽ không được hưởng chế độ hỗ trợ theo quy định tại Nghị quyết này.</w:t>
      </w:r>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bookmarkStart w:id="3" w:name="dieu_2"/>
      <w:r w:rsidRPr="007B2DD4">
        <w:rPr>
          <w:rFonts w:eastAsia="Times New Roman" w:cs="Times New Roman"/>
          <w:b/>
          <w:bCs/>
          <w:color w:val="000000"/>
          <w:sz w:val="28"/>
          <w:szCs w:val="28"/>
          <w:shd w:val="clear" w:color="auto" w:fill="FFFFFF"/>
          <w:lang w:val="vi-VN"/>
        </w:rPr>
        <w:t>Điều 2. Cơ chế hỗ trợ</w:t>
      </w:r>
      <w:bookmarkEnd w:id="3"/>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1. Mức hỗ trợ</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a) Đối với đối tượng quy định tại điểm a, điểm b khoản 2 Điều 1 của Nghị quyết này đang theo học tại các cơ sở giáo dục công lập: Mức hỗ trợ bằng 100% mức học phí thực tế học sinh phải nộp năm học 2022-2023 do Hội đồng nhân dân Thành phố quy định đối với cơ sở giáo dục công lập chưa tự bảo đảm chi thường xuyên tương ứng với hình thức học và vùng, cấp học.</w:t>
      </w:r>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b) Đối với đối tượng quy định tại điểm b khoản 2 Điều 1 của Nghị quyết này đang theo học tại các cơ sở giáo dục dân lập, tư thục: Mức hỗ trợ bằng phần học phí còn lại theo mức học phí năm học 2022-2023 do Hội đồng nhân dân Thành phố quy định đối với cơ sở giáo dục công lập chưa tự bảo đảm chi thường xuyên tương ứng với hình thức học và vùng, cấp học sau khi đã thực hiện chính sách giảm học phí theo quy định tại Nghị định số </w:t>
      </w:r>
      <w:hyperlink r:id="rId8" w:tgtFrame="_blank" w:tooltip="Nghị định 81/2021/NĐ-CP" w:history="1">
        <w:r w:rsidRPr="007B2DD4">
          <w:rPr>
            <w:rFonts w:eastAsia="Times New Roman" w:cs="Times New Roman"/>
            <w:color w:val="0E70C3"/>
            <w:sz w:val="28"/>
            <w:szCs w:val="28"/>
            <w:u w:val="single"/>
            <w:shd w:val="clear" w:color="auto" w:fill="FFFFFF"/>
            <w:lang w:val="vi-VN"/>
          </w:rPr>
          <w:t>81/2021/NĐ-CP</w:t>
        </w:r>
      </w:hyperlink>
      <w:r w:rsidRPr="007B2DD4">
        <w:rPr>
          <w:rFonts w:eastAsia="Times New Roman" w:cs="Times New Roman"/>
          <w:color w:val="000000"/>
          <w:sz w:val="28"/>
          <w:szCs w:val="28"/>
          <w:shd w:val="clear" w:color="auto" w:fill="FFFFFF"/>
          <w:lang w:val="vi-VN"/>
        </w:rPr>
        <w:t> ngày 27 tháng 8 năm 2021 của Chính phủ và các văn bản quy định khác có liên quan </w:t>
      </w:r>
      <w:r w:rsidRPr="007B2DD4">
        <w:rPr>
          <w:rFonts w:eastAsia="Times New Roman" w:cs="Times New Roman"/>
          <w:i/>
          <w:iCs/>
          <w:color w:val="000000"/>
          <w:sz w:val="28"/>
          <w:szCs w:val="28"/>
          <w:shd w:val="clear" w:color="auto" w:fill="FFFFFF"/>
          <w:lang w:val="vi-VN"/>
        </w:rPr>
        <w:t>(Chi tiết tại Phụ lục kèm theo).</w:t>
      </w:r>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Trong trường hợp sau thời điểm Nghị quyết này có hiệu lực, Chính phủ ban hành quy định về việc giữ nguyên mức học phí năm học 2022-2023 bằng mức học phí năm học 2021-2022: Mức hỗ trợ bằng phần học phí còn lại theo mức học phí quy định tại Nghị quyết số </w:t>
      </w:r>
      <w:hyperlink r:id="rId9" w:tgtFrame="_blank" w:tooltip="Nghị quyết 05/2021/NQ-HĐND" w:history="1">
        <w:r w:rsidRPr="007B2DD4">
          <w:rPr>
            <w:rFonts w:eastAsia="Times New Roman" w:cs="Times New Roman"/>
            <w:color w:val="0E70C3"/>
            <w:sz w:val="28"/>
            <w:szCs w:val="28"/>
            <w:u w:val="single"/>
            <w:shd w:val="clear" w:color="auto" w:fill="FFFFFF"/>
            <w:lang w:val="vi-VN"/>
          </w:rPr>
          <w:t>05/2021/NQ-HĐND</w:t>
        </w:r>
      </w:hyperlink>
      <w:r w:rsidRPr="007B2DD4">
        <w:rPr>
          <w:rFonts w:eastAsia="Times New Roman" w:cs="Times New Roman"/>
          <w:color w:val="000000"/>
          <w:sz w:val="28"/>
          <w:szCs w:val="28"/>
          <w:shd w:val="clear" w:color="auto" w:fill="FFFFFF"/>
          <w:lang w:val="vi-VN"/>
        </w:rPr>
        <w:t xml:space="preserve"> ngày 23 tháng 9 năm 2021 của Hội đồng nhân dân thành phố Hà Nội quy định mức thu học phí đối với các cơ sở giáo dục mầm non, giáo dục phổ </w:t>
      </w:r>
      <w:r w:rsidRPr="007B2DD4">
        <w:rPr>
          <w:rFonts w:eastAsia="Times New Roman" w:cs="Times New Roman"/>
          <w:color w:val="000000"/>
          <w:sz w:val="28"/>
          <w:szCs w:val="28"/>
          <w:shd w:val="clear" w:color="auto" w:fill="FFFFFF"/>
          <w:lang w:val="vi-VN"/>
        </w:rPr>
        <w:lastRenderedPageBreak/>
        <w:t>thông công lập của thành phố Hà Nội năm học 2021-2022 tương ứng với hình thức học và vùng, cấp học sau khi đã thực hiện chính sách giảm học phí theo quy định tại Nghị định số </w:t>
      </w:r>
      <w:hyperlink r:id="rId10" w:tgtFrame="_blank" w:tooltip="Nghị định 81/2021/NĐ-CP" w:history="1">
        <w:r w:rsidRPr="007B2DD4">
          <w:rPr>
            <w:rFonts w:eastAsia="Times New Roman" w:cs="Times New Roman"/>
            <w:color w:val="0E70C3"/>
            <w:sz w:val="28"/>
            <w:szCs w:val="28"/>
            <w:u w:val="single"/>
            <w:shd w:val="clear" w:color="auto" w:fill="FFFFFF"/>
            <w:lang w:val="vi-VN"/>
          </w:rPr>
          <w:t>81/2021/NĐ-CP</w:t>
        </w:r>
      </w:hyperlink>
      <w:r w:rsidRPr="007B2DD4">
        <w:rPr>
          <w:rFonts w:eastAsia="Times New Roman" w:cs="Times New Roman"/>
          <w:color w:val="000000"/>
          <w:sz w:val="28"/>
          <w:szCs w:val="28"/>
          <w:shd w:val="clear" w:color="auto" w:fill="FFFFFF"/>
          <w:lang w:val="vi-VN"/>
        </w:rPr>
        <w:t> ngày 27 tháng 8 năm 2021 của Chính phủ và các văn bản quy định khác có liên quan</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2. Thời gian hỗ trợ: Năm học 2022-2023 theo thời gian học sinh học thực tế.</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3. Nguồn kinh phí hỗ trợ: Ngân sách nhà nước theo phân cấp. Riêng năm 2022, từ nguồn dự phòng ngân sách cấp Thành phố.</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4. Phương thức thực hiện</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a) Ủy ban nhân dân Thành phố giao và phân bổ dự toán kinh phí cho Sở Giáo dục và Đào tạo để giao dự toán kinh phí hỗ trợ học phí cho các cơ sở giáo dục mầm non, phổ thông công lập trực thuộc Sở Giáo dục và Đào tạo và thực hiện chi trả cho các đối tượng được hưởng chế độ đang theo học tại các cơ sở giáo dục dân lập, tư thục trực thuộc Sở Giáo dục và Đào tạo (chi trả thông qua các cơ sở giáo dục).</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b) Ủy ban nhân dân các quận, huyện, thị xã giao và phân bổ dự toán kinh phí hỗ trợ học phí cho các cơ sở giáo dục mầm non, phổ thông công lập trực thuộc theo phân cấp quản lý và trung tâm giáo dục nghề nghiệp - giáo dục thường xuyên; giao và phân bổ dự toán kinh phí hỗ trợ học phí cho phòng giáo dục và đào tạo để chi trả cho các đối tượng được hưởng chế độ đang theo học tại các cơ sở giáo dục mầm non, phổ thông dân lập, tư thục trên địa bàn theo phân cấp quản lý (chi trả thông qua các cơ sở giáo dục).</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5. Ngoài các nội dung chính sách nêu trên, đối tượng thụ hưởng chính sách được hưởng các chính sách khác của Trung ương và Thành phố theo quy định nhưng không trùng lặp về nội dung hỗ trợ. Trường hợp trong cùng thời điểm và cùng một nội dung hỗ trợ, đối tượng thụ hưởng chính sách được hưởng chế độ hỗ trợ có mức hỗ trợ cao nhất.</w:t>
      </w:r>
    </w:p>
    <w:p w:rsidR="007B2DD4" w:rsidRPr="007B2DD4" w:rsidRDefault="007B2DD4" w:rsidP="007B2DD4">
      <w:pPr>
        <w:shd w:val="clear" w:color="auto" w:fill="FFFFFF"/>
        <w:spacing w:after="0" w:line="234" w:lineRule="atLeast"/>
        <w:jc w:val="both"/>
        <w:rPr>
          <w:rFonts w:eastAsia="Times New Roman" w:cs="Times New Roman"/>
          <w:color w:val="000000"/>
          <w:sz w:val="28"/>
          <w:szCs w:val="28"/>
        </w:rPr>
      </w:pPr>
      <w:bookmarkStart w:id="4" w:name="dieu_3"/>
      <w:r w:rsidRPr="007B2DD4">
        <w:rPr>
          <w:rFonts w:eastAsia="Times New Roman" w:cs="Times New Roman"/>
          <w:b/>
          <w:bCs/>
          <w:color w:val="000000"/>
          <w:sz w:val="28"/>
          <w:szCs w:val="28"/>
          <w:shd w:val="clear" w:color="auto" w:fill="FFFFFF"/>
          <w:lang w:val="vi-VN"/>
        </w:rPr>
        <w:t>Điều 3. Tổ chức thực hiện</w:t>
      </w:r>
      <w:bookmarkEnd w:id="4"/>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1. Giao Ủy ban nhân dân Thành phố</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a) Tổ chức thực hiện Nghị quyết; chỉ đạo tổ chức tuyên truyền sâu rộng đến các tầng lớp nhân dân, các cơ quan, tổ chức trên địa bàn Thành phố về cơ chế hỗ trợ học phí đối với một số đối tượng trẻ em mầm non và học sinh phổ thông của thành phố Hà Nội năm học 2022-2023 quy định tại Nghị quyết.</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b) Chỉ đạo các quận, huyện, thị xã tổ chức rà soát, thực hiện chính sách hỗ trợ, đảm bảo đúng đối tượng, đúng quy định.</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c) Tăng cường công tác thanh tra, kiểm tra đảm bảo việc thực hiện chính sách công khai, minh bạch, đúng quy định.</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2. Giao Thường trực Hội đồng nhân dân, các Ban của Hội đồng nhân dân Thành phố, các Tổ đại biểu, đại biểu Hội đồng nhân dân Thành phố giám sát việc tổ chức thực hiện Nghị quyết.</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t>3. Đề nghị Ủy ban Mặt trận Tổ quốc Việt Nam thành phố Hà Nội và các tổ chức chính trị - xã hội phối hợp tuyên truyền và giám sát việc thực hiện Nghị quyết.</w:t>
      </w:r>
    </w:p>
    <w:p w:rsidR="007B2DD4" w:rsidRPr="007B2DD4" w:rsidRDefault="007B2DD4" w:rsidP="007B2DD4">
      <w:pPr>
        <w:shd w:val="clear" w:color="auto" w:fill="FFFFFF"/>
        <w:spacing w:before="120" w:after="120" w:line="234" w:lineRule="atLeast"/>
        <w:jc w:val="both"/>
        <w:rPr>
          <w:rFonts w:eastAsia="Times New Roman" w:cs="Times New Roman"/>
          <w:color w:val="000000"/>
          <w:sz w:val="28"/>
          <w:szCs w:val="28"/>
        </w:rPr>
      </w:pPr>
      <w:r w:rsidRPr="007B2DD4">
        <w:rPr>
          <w:rFonts w:eastAsia="Times New Roman" w:cs="Times New Roman"/>
          <w:color w:val="000000"/>
          <w:sz w:val="28"/>
          <w:szCs w:val="28"/>
          <w:shd w:val="clear" w:color="auto" w:fill="FFFFFF"/>
          <w:lang w:val="vi-VN"/>
        </w:rPr>
        <w:lastRenderedPageBreak/>
        <w:t>Nghị quyết này đã được Hội đồng nhân dân thành phố Hà Nội khoá XVI, kỳ họp thứ 9 thông qua ngày 12 tháng 9 năm 2022 và có hiệu lực kể từ ngày ký ban hành./.</w:t>
      </w:r>
    </w:p>
    <w:p w:rsidR="007B2DD4" w:rsidRPr="007B2DD4" w:rsidRDefault="007B2DD4" w:rsidP="007B2DD4">
      <w:pPr>
        <w:shd w:val="clear" w:color="auto" w:fill="FFFFFF"/>
        <w:spacing w:before="120" w:after="120" w:line="234" w:lineRule="atLeast"/>
        <w:rPr>
          <w:rFonts w:eastAsia="Times New Roman" w:cs="Times New Roman"/>
          <w:color w:val="000000"/>
          <w:sz w:val="18"/>
          <w:szCs w:val="18"/>
        </w:rPr>
      </w:pPr>
      <w:r w:rsidRPr="007B2DD4">
        <w:rPr>
          <w:rFonts w:eastAsia="Times New Roman" w:cs="Times New Roman"/>
          <w:color w:val="000000"/>
          <w:sz w:val="18"/>
          <w:szCs w:val="18"/>
          <w:shd w:val="clear" w:color="auto" w:fill="FFFFFF"/>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7B2DD4" w:rsidRPr="007B2DD4" w:rsidTr="007B2DD4">
        <w:trPr>
          <w:tblCellSpacing w:w="0" w:type="dxa"/>
        </w:trPr>
        <w:tc>
          <w:tcPr>
            <w:tcW w:w="4428" w:type="dxa"/>
            <w:tcMar>
              <w:top w:w="0" w:type="dxa"/>
              <w:left w:w="108" w:type="dxa"/>
              <w:bottom w:w="0" w:type="dxa"/>
              <w:right w:w="108" w:type="dxa"/>
            </w:tcMa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i/>
                <w:iCs/>
                <w:szCs w:val="24"/>
                <w:lang w:val="vi-VN"/>
              </w:rPr>
              <w:br/>
              <w:t>Nơi nhận:</w:t>
            </w:r>
            <w:r w:rsidRPr="007B2DD4">
              <w:rPr>
                <w:rFonts w:eastAsia="Times New Roman" w:cs="Times New Roman"/>
                <w:b/>
                <w:bCs/>
                <w:i/>
                <w:iCs/>
                <w:szCs w:val="24"/>
                <w:lang w:val="vi-VN"/>
              </w:rPr>
              <w:br/>
            </w:r>
            <w:r w:rsidRPr="007B2DD4">
              <w:rPr>
                <w:rFonts w:eastAsia="Times New Roman" w:cs="Times New Roman"/>
                <w:sz w:val="16"/>
                <w:szCs w:val="16"/>
                <w:lang w:val="vi-VN"/>
              </w:rPr>
              <w:t>- </w:t>
            </w:r>
            <w:r w:rsidRPr="007B2DD4">
              <w:rPr>
                <w:rFonts w:eastAsia="Times New Roman" w:cs="Times New Roman"/>
                <w:sz w:val="16"/>
                <w:szCs w:val="16"/>
                <w:shd w:val="clear" w:color="auto" w:fill="FFFFFF"/>
                <w:lang w:val="vi-VN"/>
              </w:rPr>
              <w:t>Ủy ban Thường vụ Quốc hội;</w:t>
            </w:r>
            <w:r w:rsidRPr="007B2DD4">
              <w:rPr>
                <w:rFonts w:eastAsia="Times New Roman" w:cs="Times New Roman"/>
                <w:sz w:val="16"/>
                <w:szCs w:val="16"/>
                <w:shd w:val="clear" w:color="auto" w:fill="FFFFFF"/>
                <w:lang w:val="vi-VN"/>
              </w:rPr>
              <w:br/>
              <w:t>- Chính phủ;</w:t>
            </w:r>
            <w:r w:rsidRPr="007B2DD4">
              <w:rPr>
                <w:rFonts w:eastAsia="Times New Roman" w:cs="Times New Roman"/>
                <w:sz w:val="16"/>
                <w:szCs w:val="16"/>
                <w:shd w:val="clear" w:color="auto" w:fill="FFFFFF"/>
                <w:lang w:val="vi-VN"/>
              </w:rPr>
              <w:br/>
              <w:t>- Ban công tác đại biểu thuộc UBTV Quốc hội;</w:t>
            </w:r>
            <w:r w:rsidRPr="007B2DD4">
              <w:rPr>
                <w:rFonts w:eastAsia="Times New Roman" w:cs="Times New Roman"/>
                <w:sz w:val="16"/>
                <w:szCs w:val="16"/>
                <w:shd w:val="clear" w:color="auto" w:fill="FFFFFF"/>
                <w:lang w:val="vi-VN"/>
              </w:rPr>
              <w:br/>
              <w:t>- Văn phòng Quốc hội; Văn phòng Chính phủ;</w:t>
            </w:r>
            <w:r w:rsidRPr="007B2DD4">
              <w:rPr>
                <w:rFonts w:eastAsia="Times New Roman" w:cs="Times New Roman"/>
                <w:sz w:val="16"/>
                <w:szCs w:val="16"/>
                <w:shd w:val="clear" w:color="auto" w:fill="FFFFFF"/>
                <w:lang w:val="vi-VN"/>
              </w:rPr>
              <w:br/>
              <w:t>- Các Bộ: Giáo dục và Đào tạo, Tài chính, Tư pháp;</w:t>
            </w:r>
            <w:r w:rsidRPr="007B2DD4">
              <w:rPr>
                <w:rFonts w:eastAsia="Times New Roman" w:cs="Times New Roman"/>
                <w:sz w:val="16"/>
                <w:szCs w:val="16"/>
                <w:shd w:val="clear" w:color="auto" w:fill="FFFFFF"/>
                <w:lang w:val="vi-VN"/>
              </w:rPr>
              <w:br/>
              <w:t>- Thường trực Thành ủy;</w:t>
            </w:r>
            <w:r w:rsidRPr="007B2DD4">
              <w:rPr>
                <w:rFonts w:eastAsia="Times New Roman" w:cs="Times New Roman"/>
                <w:sz w:val="16"/>
                <w:szCs w:val="16"/>
                <w:shd w:val="clear" w:color="auto" w:fill="FFFFFF"/>
                <w:lang w:val="vi-VN"/>
              </w:rPr>
              <w:br/>
              <w:t>- Thường trực: HĐND, UBND, UBMTTQ Việt Nam Thành phố;</w:t>
            </w:r>
            <w:r w:rsidRPr="007B2DD4">
              <w:rPr>
                <w:rFonts w:eastAsia="Times New Roman" w:cs="Times New Roman"/>
                <w:sz w:val="16"/>
                <w:szCs w:val="16"/>
                <w:shd w:val="clear" w:color="auto" w:fill="FFFFFF"/>
                <w:lang w:val="vi-VN"/>
              </w:rPr>
              <w:br/>
              <w:t>- Đoàn Đại biểu Quốc hội Hà Nội;</w:t>
            </w:r>
            <w:r w:rsidRPr="007B2DD4">
              <w:rPr>
                <w:rFonts w:eastAsia="Times New Roman" w:cs="Times New Roman"/>
                <w:sz w:val="16"/>
                <w:szCs w:val="16"/>
                <w:shd w:val="clear" w:color="auto" w:fill="FFFFFF"/>
                <w:lang w:val="vi-VN"/>
              </w:rPr>
              <w:br/>
              <w:t>- Đại biểu HĐND Thành phố;</w:t>
            </w:r>
            <w:r w:rsidRPr="007B2DD4">
              <w:rPr>
                <w:rFonts w:eastAsia="Times New Roman" w:cs="Times New Roman"/>
                <w:sz w:val="16"/>
                <w:szCs w:val="16"/>
                <w:shd w:val="clear" w:color="auto" w:fill="FFFFFF"/>
                <w:lang w:val="vi-VN"/>
              </w:rPr>
              <w:br/>
              <w:t>- VP TU, các Ban Đảng Thành ủy;</w:t>
            </w:r>
            <w:r w:rsidRPr="007B2DD4">
              <w:rPr>
                <w:rFonts w:eastAsia="Times New Roman" w:cs="Times New Roman"/>
                <w:sz w:val="16"/>
                <w:szCs w:val="16"/>
                <w:shd w:val="clear" w:color="auto" w:fill="FFFFFF"/>
                <w:lang w:val="vi-VN"/>
              </w:rPr>
              <w:br/>
              <w:t>- Các Ban HĐND Thành phố;</w:t>
            </w:r>
            <w:r w:rsidRPr="007B2DD4">
              <w:rPr>
                <w:rFonts w:eastAsia="Times New Roman" w:cs="Times New Roman"/>
                <w:sz w:val="16"/>
                <w:szCs w:val="16"/>
                <w:shd w:val="clear" w:color="auto" w:fill="FFFFFF"/>
                <w:lang w:val="vi-VN"/>
              </w:rPr>
              <w:br/>
              <w:t>- VP: Đoàn ĐBQH&amp;HĐND </w:t>
            </w:r>
            <w:r w:rsidRPr="007B2DD4">
              <w:rPr>
                <w:rFonts w:eastAsia="Times New Roman" w:cs="Times New Roman"/>
                <w:sz w:val="16"/>
                <w:szCs w:val="16"/>
                <w:shd w:val="clear" w:color="auto" w:fill="FFFFFF"/>
              </w:rPr>
              <w:t>TP; </w:t>
            </w:r>
            <w:r w:rsidRPr="007B2DD4">
              <w:rPr>
                <w:rFonts w:eastAsia="Times New Roman" w:cs="Times New Roman"/>
                <w:sz w:val="16"/>
                <w:szCs w:val="16"/>
                <w:shd w:val="clear" w:color="auto" w:fill="FFFFFF"/>
                <w:lang w:val="vi-VN"/>
              </w:rPr>
              <w:t>UBND Thành phố;</w:t>
            </w:r>
            <w:r w:rsidRPr="007B2DD4">
              <w:rPr>
                <w:rFonts w:eastAsia="Times New Roman" w:cs="Times New Roman"/>
                <w:sz w:val="16"/>
                <w:szCs w:val="16"/>
                <w:shd w:val="clear" w:color="auto" w:fill="FFFFFF"/>
                <w:lang w:val="vi-VN"/>
              </w:rPr>
              <w:br/>
              <w:t>- Các sở, ban, ngành Thành phố;</w:t>
            </w:r>
            <w:r w:rsidRPr="007B2DD4">
              <w:rPr>
                <w:rFonts w:eastAsia="Times New Roman" w:cs="Times New Roman"/>
                <w:sz w:val="16"/>
                <w:szCs w:val="16"/>
                <w:shd w:val="clear" w:color="auto" w:fill="FFFFFF"/>
                <w:lang w:val="vi-VN"/>
              </w:rPr>
              <w:br/>
              <w:t>- </w:t>
            </w:r>
            <w:r w:rsidRPr="007B2DD4">
              <w:rPr>
                <w:rFonts w:eastAsia="Times New Roman" w:cs="Times New Roman"/>
                <w:sz w:val="16"/>
                <w:szCs w:val="16"/>
                <w:shd w:val="clear" w:color="auto" w:fill="FFFFFF"/>
              </w:rPr>
              <w:t>TT </w:t>
            </w:r>
            <w:r w:rsidRPr="007B2DD4">
              <w:rPr>
                <w:rFonts w:eastAsia="Times New Roman" w:cs="Times New Roman"/>
                <w:sz w:val="16"/>
                <w:szCs w:val="16"/>
                <w:shd w:val="clear" w:color="auto" w:fill="FFFFFF"/>
                <w:lang w:val="vi-VN"/>
              </w:rPr>
              <w:t>HĐND </w:t>
            </w:r>
            <w:r w:rsidRPr="007B2DD4">
              <w:rPr>
                <w:rFonts w:eastAsia="Times New Roman" w:cs="Times New Roman"/>
                <w:sz w:val="16"/>
                <w:szCs w:val="16"/>
                <w:shd w:val="clear" w:color="auto" w:fill="FFFFFF"/>
              </w:rPr>
              <w:t>UBND </w:t>
            </w:r>
            <w:r w:rsidRPr="007B2DD4">
              <w:rPr>
                <w:rFonts w:eastAsia="Times New Roman" w:cs="Times New Roman"/>
                <w:sz w:val="16"/>
                <w:szCs w:val="16"/>
                <w:shd w:val="clear" w:color="auto" w:fill="FFFFFF"/>
                <w:lang w:val="vi-VN"/>
              </w:rPr>
              <w:t>quận, huyện thị xã;</w:t>
            </w:r>
            <w:r w:rsidRPr="007B2DD4">
              <w:rPr>
                <w:rFonts w:eastAsia="Times New Roman" w:cs="Times New Roman"/>
                <w:sz w:val="16"/>
                <w:szCs w:val="16"/>
                <w:shd w:val="clear" w:color="auto" w:fill="FFFFFF"/>
                <w:lang w:val="vi-VN"/>
              </w:rPr>
              <w:br/>
              <w:t>- Công báo Thành phố, Cổng GTĐT Thành phố;</w:t>
            </w:r>
            <w:r w:rsidRPr="007B2DD4">
              <w:rPr>
                <w:rFonts w:eastAsia="Times New Roman" w:cs="Times New Roman"/>
                <w:sz w:val="16"/>
                <w:szCs w:val="16"/>
                <w:shd w:val="clear" w:color="auto" w:fill="FFFFFF"/>
                <w:lang w:val="vi-VN"/>
              </w:rPr>
              <w:br/>
              <w:t>- Lưu: VT.</w:t>
            </w:r>
          </w:p>
        </w:tc>
        <w:tc>
          <w:tcPr>
            <w:tcW w:w="4428" w:type="dxa"/>
            <w:tcMar>
              <w:top w:w="0" w:type="dxa"/>
              <w:left w:w="108" w:type="dxa"/>
              <w:bottom w:w="0" w:type="dxa"/>
              <w:right w:w="108" w:type="dxa"/>
            </w:tcMa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CHỦ TỊCH</w:t>
            </w:r>
            <w:r w:rsidRPr="007B2DD4">
              <w:rPr>
                <w:rFonts w:eastAsia="Times New Roman" w:cs="Times New Roman"/>
                <w:b/>
                <w:bCs/>
                <w:szCs w:val="24"/>
                <w:shd w:val="clear" w:color="auto" w:fill="FFFFFF"/>
                <w:lang w:val="vi-VN"/>
              </w:rPr>
              <w:br/>
            </w:r>
            <w:r w:rsidRPr="007B2DD4">
              <w:rPr>
                <w:rFonts w:eastAsia="Times New Roman" w:cs="Times New Roman"/>
                <w:b/>
                <w:bCs/>
                <w:szCs w:val="24"/>
                <w:shd w:val="clear" w:color="auto" w:fill="FFFFFF"/>
              </w:rPr>
              <w:br/>
            </w:r>
            <w:r w:rsidRPr="007B2DD4">
              <w:rPr>
                <w:rFonts w:eastAsia="Times New Roman" w:cs="Times New Roman"/>
                <w:b/>
                <w:bCs/>
                <w:szCs w:val="24"/>
                <w:shd w:val="clear" w:color="auto" w:fill="FFFFFF"/>
              </w:rPr>
              <w:br/>
            </w:r>
            <w:r w:rsidRPr="007B2DD4">
              <w:rPr>
                <w:rFonts w:eastAsia="Times New Roman" w:cs="Times New Roman"/>
                <w:b/>
                <w:bCs/>
                <w:szCs w:val="24"/>
                <w:shd w:val="clear" w:color="auto" w:fill="FFFFFF"/>
              </w:rPr>
              <w:br/>
            </w:r>
            <w:r w:rsidRPr="007B2DD4">
              <w:rPr>
                <w:rFonts w:eastAsia="Times New Roman" w:cs="Times New Roman"/>
                <w:b/>
                <w:bCs/>
                <w:szCs w:val="24"/>
                <w:shd w:val="clear" w:color="auto" w:fill="FFFFFF"/>
              </w:rPr>
              <w:br/>
            </w:r>
            <w:r w:rsidRPr="007B2DD4">
              <w:rPr>
                <w:rFonts w:eastAsia="Times New Roman" w:cs="Times New Roman"/>
                <w:b/>
                <w:bCs/>
                <w:szCs w:val="24"/>
                <w:shd w:val="clear" w:color="auto" w:fill="FFFFFF"/>
                <w:lang w:val="vi-VN"/>
              </w:rPr>
              <w:t>Nguyễn Ngọc Tuấn</w:t>
            </w:r>
          </w:p>
        </w:tc>
      </w:tr>
    </w:tbl>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r w:rsidRPr="007B2DD4">
        <w:rPr>
          <w:rFonts w:eastAsia="Times New Roman" w:cs="Times New Roman"/>
          <w:color w:val="000000"/>
          <w:sz w:val="18"/>
          <w:szCs w:val="18"/>
          <w:shd w:val="clear" w:color="auto" w:fill="FFFFFF"/>
        </w:rPr>
        <w:t> </w:t>
      </w: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Default="007B2DD4" w:rsidP="007B2DD4">
      <w:pPr>
        <w:shd w:val="clear" w:color="auto" w:fill="FFFFFF"/>
        <w:spacing w:before="120" w:after="120" w:line="234" w:lineRule="atLeast"/>
        <w:rPr>
          <w:rFonts w:eastAsia="Times New Roman" w:cs="Times New Roman"/>
          <w:color w:val="000000"/>
          <w:sz w:val="18"/>
          <w:szCs w:val="18"/>
          <w:shd w:val="clear" w:color="auto" w:fill="FFFFFF"/>
        </w:rPr>
      </w:pPr>
    </w:p>
    <w:p w:rsidR="007B2DD4" w:rsidRPr="007B2DD4" w:rsidRDefault="007B2DD4" w:rsidP="007B2DD4">
      <w:pPr>
        <w:shd w:val="clear" w:color="auto" w:fill="FFFFFF"/>
        <w:spacing w:before="120" w:after="120" w:line="234" w:lineRule="atLeast"/>
        <w:rPr>
          <w:rFonts w:eastAsia="Times New Roman" w:cs="Times New Roman"/>
          <w:color w:val="000000"/>
          <w:sz w:val="18"/>
          <w:szCs w:val="18"/>
        </w:rPr>
      </w:pPr>
      <w:bookmarkStart w:id="5" w:name="_GoBack"/>
      <w:bookmarkEnd w:id="5"/>
    </w:p>
    <w:p w:rsidR="007B2DD4" w:rsidRPr="007B2DD4" w:rsidRDefault="007B2DD4" w:rsidP="007B2DD4">
      <w:pPr>
        <w:shd w:val="clear" w:color="auto" w:fill="FFFFFF"/>
        <w:spacing w:after="0" w:line="234" w:lineRule="atLeast"/>
        <w:jc w:val="center"/>
        <w:rPr>
          <w:rFonts w:eastAsia="Times New Roman" w:cs="Times New Roman"/>
          <w:color w:val="000000"/>
          <w:sz w:val="18"/>
          <w:szCs w:val="18"/>
        </w:rPr>
      </w:pPr>
      <w:bookmarkStart w:id="6" w:name="chuong_pl"/>
      <w:r w:rsidRPr="007B2DD4">
        <w:rPr>
          <w:rFonts w:eastAsia="Times New Roman" w:cs="Times New Roman"/>
          <w:b/>
          <w:bCs/>
          <w:color w:val="000000"/>
          <w:szCs w:val="24"/>
          <w:shd w:val="clear" w:color="auto" w:fill="FFFFFF"/>
          <w:lang w:val="vi-VN"/>
        </w:rPr>
        <w:lastRenderedPageBreak/>
        <w:t>PHỤ LỤC</w:t>
      </w:r>
      <w:bookmarkEnd w:id="6"/>
    </w:p>
    <w:p w:rsidR="007B2DD4" w:rsidRPr="007B2DD4" w:rsidRDefault="007B2DD4" w:rsidP="007B2DD4">
      <w:pPr>
        <w:shd w:val="clear" w:color="auto" w:fill="FFFFFF"/>
        <w:spacing w:after="0" w:line="234" w:lineRule="atLeast"/>
        <w:jc w:val="center"/>
        <w:rPr>
          <w:rFonts w:eastAsia="Times New Roman" w:cs="Times New Roman"/>
          <w:color w:val="000000"/>
          <w:sz w:val="18"/>
          <w:szCs w:val="18"/>
        </w:rPr>
      </w:pPr>
      <w:bookmarkStart w:id="7" w:name="chuong_pl_name"/>
      <w:r w:rsidRPr="007B2DD4">
        <w:rPr>
          <w:rFonts w:eastAsia="Times New Roman" w:cs="Times New Roman"/>
          <w:color w:val="000000"/>
          <w:sz w:val="18"/>
          <w:szCs w:val="18"/>
          <w:shd w:val="clear" w:color="auto" w:fill="FFFFFF"/>
        </w:rPr>
        <w:t>MỨC HỖ TRỢ HỌC PHÍ ĐỐI VỚI TRẺ EM MẦM NON VÀ HỌC SINH PHỔ THÔNG THUỘC ĐỐI TƯỢNG ĐƯỢC GIẢM HỌC PHÍ THEO QUY ĐỊNH TẠI NGHỊ ĐỊNH SỐ </w:t>
      </w:r>
      <w:bookmarkEnd w:id="7"/>
      <w:r w:rsidRPr="007B2DD4">
        <w:rPr>
          <w:rFonts w:eastAsia="Times New Roman" w:cs="Times New Roman"/>
          <w:color w:val="000000"/>
          <w:sz w:val="18"/>
          <w:szCs w:val="18"/>
        </w:rPr>
        <w:fldChar w:fldCharType="begin"/>
      </w:r>
      <w:r w:rsidRPr="007B2DD4">
        <w:rPr>
          <w:rFonts w:eastAsia="Times New Roman" w:cs="Times New Roman"/>
          <w:color w:val="000000"/>
          <w:sz w:val="18"/>
          <w:szCs w:val="18"/>
        </w:rPr>
        <w:instrText xml:space="preserve"> HYPERLINK "https://thuvienphapluat.vn/van-ban/thue-phi-le-phi/nghi-dinh-81-2021-nd-cp-quan-ly-hoc-phi-doi-voi-co-so-giao-duc-thuoc-he-thong-giao-duc-quoc-dan-457392.aspx" \o "Nghị định 81/2021/NĐ-CP" \t "_blank" </w:instrText>
      </w:r>
      <w:r w:rsidRPr="007B2DD4">
        <w:rPr>
          <w:rFonts w:eastAsia="Times New Roman" w:cs="Times New Roman"/>
          <w:color w:val="000000"/>
          <w:sz w:val="18"/>
          <w:szCs w:val="18"/>
        </w:rPr>
        <w:fldChar w:fldCharType="separate"/>
      </w:r>
      <w:r w:rsidRPr="007B2DD4">
        <w:rPr>
          <w:rFonts w:eastAsia="Times New Roman" w:cs="Times New Roman"/>
          <w:color w:val="0E70C3"/>
          <w:sz w:val="18"/>
          <w:szCs w:val="18"/>
          <w:u w:val="single"/>
        </w:rPr>
        <w:t>81/2021/NĐ-CP</w:t>
      </w:r>
      <w:r w:rsidRPr="007B2DD4">
        <w:rPr>
          <w:rFonts w:eastAsia="Times New Roman" w:cs="Times New Roman"/>
          <w:color w:val="000000"/>
          <w:sz w:val="18"/>
          <w:szCs w:val="18"/>
        </w:rPr>
        <w:fldChar w:fldCharType="end"/>
      </w:r>
      <w:r w:rsidRPr="007B2DD4">
        <w:rPr>
          <w:rFonts w:eastAsia="Times New Roman" w:cs="Times New Roman"/>
          <w:color w:val="000000"/>
          <w:sz w:val="18"/>
          <w:szCs w:val="18"/>
        </w:rPr>
        <w:t> ĐANG THEO HỌC TẠI CÁC CƠ SỞ GIÁO DỤC DÂN LẬP, TƯ THỤC CỦA THÀNH PHỐ HÀ NỘI</w:t>
      </w:r>
      <w:r w:rsidRPr="007B2DD4">
        <w:rPr>
          <w:rFonts w:eastAsia="Times New Roman" w:cs="Times New Roman"/>
          <w:color w:val="000000"/>
          <w:sz w:val="18"/>
          <w:szCs w:val="18"/>
          <w:shd w:val="clear" w:color="auto" w:fill="FFFFFF"/>
          <w:lang w:val="vi-VN"/>
        </w:rPr>
        <w:br/>
      </w:r>
      <w:r w:rsidRPr="007B2DD4">
        <w:rPr>
          <w:rFonts w:eastAsia="Times New Roman" w:cs="Times New Roman"/>
          <w:color w:val="000000"/>
          <w:sz w:val="18"/>
          <w:szCs w:val="18"/>
          <w:shd w:val="clear" w:color="auto" w:fill="FFFFFF"/>
        </w:rPr>
        <w:t>(</w:t>
      </w:r>
      <w:r w:rsidRPr="007B2DD4">
        <w:rPr>
          <w:rFonts w:eastAsia="Times New Roman" w:cs="Times New Roman"/>
          <w:i/>
          <w:iCs/>
          <w:color w:val="000000"/>
          <w:sz w:val="18"/>
          <w:szCs w:val="18"/>
          <w:shd w:val="clear" w:color="auto" w:fill="FFFFFF"/>
        </w:rPr>
        <w:t>Kèm theo Nghị quyết </w:t>
      </w:r>
      <w:r w:rsidRPr="007B2DD4">
        <w:rPr>
          <w:rFonts w:eastAsia="Times New Roman" w:cs="Times New Roman"/>
          <w:i/>
          <w:iCs/>
          <w:color w:val="000000"/>
          <w:sz w:val="18"/>
          <w:szCs w:val="18"/>
          <w:shd w:val="clear" w:color="auto" w:fill="FFFFFF"/>
          <w:lang w:val="vi-VN"/>
        </w:rPr>
        <w:t>số 18/2022/NQ-HĐND ngày 12/9/2022 của HĐND thành phố Hà Nội)</w:t>
      </w:r>
    </w:p>
    <w:p w:rsidR="007B2DD4" w:rsidRPr="007B2DD4" w:rsidRDefault="007B2DD4" w:rsidP="007B2DD4">
      <w:pPr>
        <w:shd w:val="clear" w:color="auto" w:fill="FFFFFF"/>
        <w:spacing w:before="120" w:after="120" w:line="234" w:lineRule="atLeast"/>
        <w:jc w:val="right"/>
        <w:rPr>
          <w:rFonts w:eastAsia="Times New Roman" w:cs="Times New Roman"/>
          <w:color w:val="000000"/>
          <w:sz w:val="18"/>
          <w:szCs w:val="18"/>
        </w:rPr>
      </w:pPr>
      <w:r w:rsidRPr="007B2DD4">
        <w:rPr>
          <w:rFonts w:eastAsia="Times New Roman" w:cs="Times New Roman"/>
          <w:i/>
          <w:iCs/>
          <w:color w:val="000000"/>
          <w:sz w:val="18"/>
          <w:szCs w:val="18"/>
          <w:shd w:val="clear" w:color="auto" w:fill="FFFFFF"/>
          <w:lang w:val="vi-VN"/>
        </w:rPr>
        <w:t>Đơn vị: Đồng/học sinh/tháng</w:t>
      </w:r>
    </w:p>
    <w:tbl>
      <w:tblPr>
        <w:tblW w:w="5000" w:type="pct"/>
        <w:tblCellSpacing w:w="0" w:type="dxa"/>
        <w:tblCellMar>
          <w:left w:w="0" w:type="dxa"/>
          <w:right w:w="0" w:type="dxa"/>
        </w:tblCellMar>
        <w:tblLook w:val="04A0" w:firstRow="1" w:lastRow="0" w:firstColumn="1" w:lastColumn="0" w:noHBand="0" w:noVBand="1"/>
      </w:tblPr>
      <w:tblGrid>
        <w:gridCol w:w="802"/>
        <w:gridCol w:w="5509"/>
        <w:gridCol w:w="1602"/>
        <w:gridCol w:w="2003"/>
      </w:tblGrid>
      <w:tr w:rsidR="007B2DD4" w:rsidRPr="007B2DD4" w:rsidTr="007B2DD4">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STT</w:t>
            </w:r>
          </w:p>
        </w:tc>
        <w:tc>
          <w:tcPr>
            <w:tcW w:w="2750" w:type="pct"/>
            <w:vMerge w:val="restart"/>
            <w:tcBorders>
              <w:top w:val="single" w:sz="8" w:space="0" w:color="auto"/>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Vùng/cấp học</w:t>
            </w:r>
          </w:p>
        </w:tc>
        <w:tc>
          <w:tcPr>
            <w:tcW w:w="1750" w:type="pct"/>
            <w:gridSpan w:val="2"/>
            <w:tcBorders>
              <w:top w:val="single" w:sz="8" w:space="0" w:color="auto"/>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Mức hỗ trợ năm học 2022-2023</w:t>
            </w:r>
          </w:p>
        </w:tc>
      </w:tr>
      <w:tr w:rsidR="007B2DD4" w:rsidRPr="007B2DD4" w:rsidTr="007B2DD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DD4" w:rsidRPr="007B2DD4" w:rsidRDefault="007B2DD4" w:rsidP="007B2DD4">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rsidR="007B2DD4" w:rsidRPr="007B2DD4" w:rsidRDefault="007B2DD4" w:rsidP="007B2DD4">
            <w:pPr>
              <w:spacing w:after="0" w:line="240" w:lineRule="auto"/>
              <w:rPr>
                <w:rFonts w:eastAsia="Times New Roman" w:cs="Times New Roman"/>
                <w:szCs w:val="24"/>
              </w:rPr>
            </w:pP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Hình thức học trực tiếp</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Hình thức học trực tuyến</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rPr>
              <w:t>A</w:t>
            </w:r>
          </w:p>
        </w:tc>
        <w:tc>
          <w:tcPr>
            <w:tcW w:w="4550" w:type="pct"/>
            <w:gridSpan w:val="3"/>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szCs w:val="24"/>
                <w:shd w:val="clear" w:color="auto" w:fill="FFFFFF"/>
                <w:lang w:val="vi-VN"/>
              </w:rPr>
              <w:t>Đối v</w:t>
            </w:r>
            <w:r w:rsidRPr="007B2DD4">
              <w:rPr>
                <w:rFonts w:eastAsia="Times New Roman" w:cs="Times New Roman"/>
                <w:b/>
                <w:bCs/>
                <w:szCs w:val="24"/>
                <w:shd w:val="clear" w:color="auto" w:fill="FFFFFF"/>
              </w:rPr>
              <w:t>ớ</w:t>
            </w:r>
            <w:r w:rsidRPr="007B2DD4">
              <w:rPr>
                <w:rFonts w:eastAsia="Times New Roman" w:cs="Times New Roman"/>
                <w:b/>
                <w:bCs/>
                <w:szCs w:val="24"/>
                <w:shd w:val="clear" w:color="auto" w:fill="FFFFFF"/>
                <w:lang w:val="vi-VN"/>
              </w:rPr>
              <w:t>i học sinh dân lập, tư thục đã được hưởng chế độ giảm 70% học phí theo quy định tại điểm c khoản 1 Điều 16 Nghị định số 81/2021/NĐ-CP</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I</w:t>
            </w:r>
          </w:p>
        </w:tc>
        <w:tc>
          <w:tcPr>
            <w:tcW w:w="4550" w:type="pct"/>
            <w:gridSpan w:val="3"/>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szCs w:val="24"/>
                <w:shd w:val="clear" w:color="auto" w:fill="FFFFFF"/>
                <w:lang w:val="vi-VN"/>
              </w:rPr>
              <w:t>Vùng thành thị (Học sinh theo học tại các cơ sở giáo dục dân lập, tư thục trên địa bàn các phường và thị trấn)</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Mầm non; Trung học cơ sở; Trung học phổ thông</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90.000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68.000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II</w:t>
            </w:r>
          </w:p>
        </w:tc>
        <w:tc>
          <w:tcPr>
            <w:tcW w:w="4550" w:type="pct"/>
            <w:gridSpan w:val="3"/>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szCs w:val="24"/>
                <w:shd w:val="clear" w:color="auto" w:fill="FFFFFF"/>
                <w:lang w:val="vi-VN"/>
              </w:rPr>
              <w:t>Vùng nông thôn (Học sinh theo học tại các cơ sở giáo dục dân lập, tư thục trên địa bàn các xã trừ các xã miền núi)</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Mầm non; Trung học cơ sở</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30.000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23.000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2</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Trung học phổ thông</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60.000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45.000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rPr>
              <w:t>III</w:t>
            </w:r>
          </w:p>
        </w:tc>
        <w:tc>
          <w:tcPr>
            <w:tcW w:w="4550" w:type="pct"/>
            <w:gridSpan w:val="3"/>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szCs w:val="24"/>
                <w:shd w:val="clear" w:color="auto" w:fill="FFFFFF"/>
                <w:lang w:val="vi-VN"/>
              </w:rPr>
              <w:t>Vùng miền núi (Học sinh theo học tại các cơ sở giáo dục dân lập, tư thục trên địa bàn các xã miền núi)</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Mầm non; Trung học cơ sở</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15.000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11.000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2</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Trung học phổ thông</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30.000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23.000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B</w:t>
            </w:r>
          </w:p>
        </w:tc>
        <w:tc>
          <w:tcPr>
            <w:tcW w:w="4550" w:type="pct"/>
            <w:gridSpan w:val="3"/>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szCs w:val="24"/>
                <w:shd w:val="clear" w:color="auto" w:fill="FFFFFF"/>
                <w:lang w:val="vi-VN"/>
              </w:rPr>
              <w:t>Đối với học sinh dân lập, tư thục đã được hưởng chế độ giảm 50% học phí theo quy định tại khoản 2 Điều 16 Nghị định số 81/2021/NĐ-CP</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I</w:t>
            </w:r>
          </w:p>
        </w:tc>
        <w:tc>
          <w:tcPr>
            <w:tcW w:w="4550" w:type="pct"/>
            <w:gridSpan w:val="3"/>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szCs w:val="24"/>
                <w:shd w:val="clear" w:color="auto" w:fill="FFFFFF"/>
                <w:lang w:val="vi-VN"/>
              </w:rPr>
              <w:t>Vùng thành thị (Học sinh theo học tại các cơ sở giáo dục dân lập, tư thục trên địa bàn các phường và thị trấn)</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Mầm non; Trung học cơ sở; Trung học phổ thông</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150.000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113.000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lang w:val="vi-VN"/>
              </w:rPr>
              <w:t>II</w:t>
            </w:r>
          </w:p>
        </w:tc>
        <w:tc>
          <w:tcPr>
            <w:tcW w:w="4550" w:type="pct"/>
            <w:gridSpan w:val="3"/>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szCs w:val="24"/>
                <w:shd w:val="clear" w:color="auto" w:fill="FFFFFF"/>
                <w:lang w:val="vi-VN"/>
              </w:rPr>
              <w:t>Vùng nông thôn (Học sinh theo học tại các cơ sở giáo dục dân lập, tư thục trên địa bàn các xã trừ các xã miền núi)</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Mầm non; Trung học cơ sở</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50.000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38.000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2</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Trung học phổ thông</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100.000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75.000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b/>
                <w:bCs/>
                <w:szCs w:val="24"/>
                <w:shd w:val="clear" w:color="auto" w:fill="FFFFFF"/>
              </w:rPr>
              <w:t>III</w:t>
            </w:r>
          </w:p>
        </w:tc>
        <w:tc>
          <w:tcPr>
            <w:tcW w:w="4550" w:type="pct"/>
            <w:gridSpan w:val="3"/>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b/>
                <w:bCs/>
                <w:szCs w:val="24"/>
                <w:shd w:val="clear" w:color="auto" w:fill="FFFFFF"/>
                <w:lang w:val="vi-VN"/>
              </w:rPr>
              <w:t>Vùng miền núi (Học sinh theo học tại các cơ sở giáo dục dân lập, tư thục trên địa bàn các xã miền núi)</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lastRenderedPageBreak/>
              <w:t>1</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Mầm non; Trung học cơ sở</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25.000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19.000</w:t>
            </w:r>
          </w:p>
        </w:tc>
      </w:tr>
      <w:tr w:rsidR="007B2DD4" w:rsidRPr="007B2DD4" w:rsidTr="007B2DD4">
        <w:trPr>
          <w:tblCellSpacing w:w="0" w:type="dxa"/>
        </w:trPr>
        <w:tc>
          <w:tcPr>
            <w:tcW w:w="400" w:type="pct"/>
            <w:tcBorders>
              <w:top w:val="nil"/>
              <w:left w:val="single" w:sz="8" w:space="0" w:color="auto"/>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2</w:t>
            </w:r>
          </w:p>
        </w:tc>
        <w:tc>
          <w:tcPr>
            <w:tcW w:w="275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rPr>
                <w:rFonts w:eastAsia="Times New Roman" w:cs="Times New Roman"/>
                <w:szCs w:val="24"/>
              </w:rPr>
            </w:pPr>
            <w:r w:rsidRPr="007B2DD4">
              <w:rPr>
                <w:rFonts w:eastAsia="Times New Roman" w:cs="Times New Roman"/>
                <w:szCs w:val="24"/>
                <w:shd w:val="clear" w:color="auto" w:fill="FFFFFF"/>
                <w:lang w:val="vi-VN"/>
              </w:rPr>
              <w:t>Trung học phổ thông</w:t>
            </w:r>
          </w:p>
        </w:tc>
        <w:tc>
          <w:tcPr>
            <w:tcW w:w="8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50.000</w:t>
            </w:r>
          </w:p>
        </w:tc>
        <w:tc>
          <w:tcPr>
            <w:tcW w:w="900" w:type="pct"/>
            <w:tcBorders>
              <w:top w:val="nil"/>
              <w:left w:val="nil"/>
              <w:bottom w:val="single" w:sz="8" w:space="0" w:color="auto"/>
              <w:right w:val="single" w:sz="8" w:space="0" w:color="auto"/>
            </w:tcBorders>
            <w:vAlign w:val="center"/>
            <w:hideMark/>
          </w:tcPr>
          <w:p w:rsidR="007B2DD4" w:rsidRPr="007B2DD4" w:rsidRDefault="007B2DD4" w:rsidP="007B2DD4">
            <w:pPr>
              <w:spacing w:before="120" w:after="120" w:line="234" w:lineRule="atLeast"/>
              <w:jc w:val="center"/>
              <w:rPr>
                <w:rFonts w:eastAsia="Times New Roman" w:cs="Times New Roman"/>
                <w:szCs w:val="24"/>
              </w:rPr>
            </w:pPr>
            <w:r w:rsidRPr="007B2DD4">
              <w:rPr>
                <w:rFonts w:eastAsia="Times New Roman" w:cs="Times New Roman"/>
                <w:szCs w:val="24"/>
                <w:shd w:val="clear" w:color="auto" w:fill="FFFFFF"/>
                <w:lang w:val="vi-VN"/>
              </w:rPr>
              <w:t>38.000</w:t>
            </w:r>
          </w:p>
        </w:tc>
      </w:tr>
    </w:tbl>
    <w:p w:rsidR="00672A87" w:rsidRPr="007B2DD4" w:rsidRDefault="00672A87" w:rsidP="007B2DD4">
      <w:pPr>
        <w:shd w:val="clear" w:color="auto" w:fill="FFFFFF"/>
        <w:spacing w:before="120" w:after="120" w:line="234" w:lineRule="atLeast"/>
        <w:rPr>
          <w:rFonts w:cs="Times New Roman"/>
        </w:rPr>
      </w:pPr>
    </w:p>
    <w:sectPr w:rsidR="00672A87" w:rsidRPr="007B2DD4" w:rsidSect="007B2DD4">
      <w:pgSz w:w="12240" w:h="15840"/>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641E7"/>
    <w:multiLevelType w:val="multilevel"/>
    <w:tmpl w:val="FAF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D4"/>
    <w:rsid w:val="00672A87"/>
    <w:rsid w:val="007B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6E17"/>
  <w15:chartTrackingRefBased/>
  <w15:docId w15:val="{856F5AFF-441D-4AE0-AA76-8F798869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DD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B2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601956">
      <w:bodyDiv w:val="1"/>
      <w:marLeft w:val="0"/>
      <w:marRight w:val="0"/>
      <w:marTop w:val="0"/>
      <w:marBottom w:val="0"/>
      <w:divBdr>
        <w:top w:val="none" w:sz="0" w:space="0" w:color="auto"/>
        <w:left w:val="none" w:sz="0" w:space="0" w:color="auto"/>
        <w:bottom w:val="none" w:sz="0" w:space="0" w:color="auto"/>
        <w:right w:val="none" w:sz="0" w:space="0" w:color="auto"/>
      </w:divBdr>
      <w:divsChild>
        <w:div w:id="657197735">
          <w:marLeft w:val="0"/>
          <w:marRight w:val="0"/>
          <w:marTop w:val="0"/>
          <w:marBottom w:val="0"/>
          <w:divBdr>
            <w:top w:val="none" w:sz="0" w:space="0" w:color="auto"/>
            <w:left w:val="none" w:sz="0" w:space="0" w:color="auto"/>
            <w:bottom w:val="none" w:sz="0" w:space="0" w:color="auto"/>
            <w:right w:val="none" w:sz="0" w:space="0" w:color="auto"/>
          </w:divBdr>
          <w:divsChild>
            <w:div w:id="861356711">
              <w:marLeft w:val="0"/>
              <w:marRight w:val="0"/>
              <w:marTop w:val="0"/>
              <w:marBottom w:val="0"/>
              <w:divBdr>
                <w:top w:val="single" w:sz="12" w:space="0" w:color="F89B1A"/>
                <w:left w:val="single" w:sz="6" w:space="0" w:color="C8D4DB"/>
                <w:bottom w:val="none" w:sz="0" w:space="0" w:color="auto"/>
                <w:right w:val="single" w:sz="6" w:space="0" w:color="C8D4DB"/>
              </w:divBdr>
              <w:divsChild>
                <w:div w:id="448163275">
                  <w:marLeft w:val="0"/>
                  <w:marRight w:val="0"/>
                  <w:marTop w:val="0"/>
                  <w:marBottom w:val="0"/>
                  <w:divBdr>
                    <w:top w:val="none" w:sz="0" w:space="0" w:color="auto"/>
                    <w:left w:val="none" w:sz="0" w:space="0" w:color="auto"/>
                    <w:bottom w:val="none" w:sz="0" w:space="0" w:color="auto"/>
                    <w:right w:val="none" w:sz="0" w:space="0" w:color="auto"/>
                  </w:divBdr>
                  <w:divsChild>
                    <w:div w:id="866868982">
                      <w:marLeft w:val="0"/>
                      <w:marRight w:val="0"/>
                      <w:marTop w:val="0"/>
                      <w:marBottom w:val="0"/>
                      <w:divBdr>
                        <w:top w:val="none" w:sz="0" w:space="0" w:color="auto"/>
                        <w:left w:val="none" w:sz="0" w:space="0" w:color="auto"/>
                        <w:bottom w:val="none" w:sz="0" w:space="0" w:color="auto"/>
                        <w:right w:val="none" w:sz="0" w:space="0" w:color="auto"/>
                      </w:divBdr>
                      <w:divsChild>
                        <w:div w:id="2099673283">
                          <w:marLeft w:val="0"/>
                          <w:marRight w:val="225"/>
                          <w:marTop w:val="0"/>
                          <w:marBottom w:val="0"/>
                          <w:divBdr>
                            <w:top w:val="none" w:sz="0" w:space="0" w:color="auto"/>
                            <w:left w:val="none" w:sz="0" w:space="0" w:color="auto"/>
                            <w:bottom w:val="none" w:sz="0" w:space="0" w:color="auto"/>
                            <w:right w:val="none" w:sz="0" w:space="0" w:color="auto"/>
                          </w:divBdr>
                          <w:divsChild>
                            <w:div w:id="1658457456">
                              <w:marLeft w:val="0"/>
                              <w:marRight w:val="0"/>
                              <w:marTop w:val="0"/>
                              <w:marBottom w:val="0"/>
                              <w:divBdr>
                                <w:top w:val="none" w:sz="0" w:space="0" w:color="auto"/>
                                <w:left w:val="none" w:sz="0" w:space="0" w:color="auto"/>
                                <w:bottom w:val="none" w:sz="0" w:space="0" w:color="auto"/>
                                <w:right w:val="none" w:sz="0" w:space="0" w:color="auto"/>
                              </w:divBdr>
                              <w:divsChild>
                                <w:div w:id="1348287918">
                                  <w:marLeft w:val="0"/>
                                  <w:marRight w:val="0"/>
                                  <w:marTop w:val="0"/>
                                  <w:marBottom w:val="0"/>
                                  <w:divBdr>
                                    <w:top w:val="none" w:sz="0" w:space="0" w:color="auto"/>
                                    <w:left w:val="none" w:sz="0" w:space="0" w:color="auto"/>
                                    <w:bottom w:val="none" w:sz="0" w:space="0" w:color="auto"/>
                                    <w:right w:val="none" w:sz="0" w:space="0" w:color="auto"/>
                                  </w:divBdr>
                                  <w:divsChild>
                                    <w:div w:id="9253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9967">
                          <w:marLeft w:val="0"/>
                          <w:marRight w:val="0"/>
                          <w:marTop w:val="150"/>
                          <w:marBottom w:val="0"/>
                          <w:divBdr>
                            <w:top w:val="none" w:sz="0" w:space="0" w:color="auto"/>
                            <w:left w:val="none" w:sz="0" w:space="0" w:color="auto"/>
                            <w:bottom w:val="none" w:sz="0" w:space="0" w:color="auto"/>
                            <w:right w:val="none" w:sz="0" w:space="0" w:color="auto"/>
                          </w:divBdr>
                          <w:divsChild>
                            <w:div w:id="1265574461">
                              <w:marLeft w:val="0"/>
                              <w:marRight w:val="0"/>
                              <w:marTop w:val="0"/>
                              <w:marBottom w:val="0"/>
                              <w:divBdr>
                                <w:top w:val="single" w:sz="2" w:space="0" w:color="BDC8D5"/>
                                <w:left w:val="single" w:sz="2" w:space="0" w:color="BDC8D5"/>
                                <w:bottom w:val="single" w:sz="2" w:space="8" w:color="BDC8D5"/>
                                <w:right w:val="single" w:sz="2" w:space="0" w:color="BDC8D5"/>
                              </w:divBdr>
                              <w:divsChild>
                                <w:div w:id="18755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81-2021-nd-cp-quan-ly-hoc-phi-doi-voi-co-so-giao-duc-thuoc-he-thong-giao-duc-quoc-dan-457392.aspx" TargetMode="External"/><Relationship Id="rId3" Type="http://schemas.openxmlformats.org/officeDocument/2006/relationships/settings" Target="settings.xml"/><Relationship Id="rId7" Type="http://schemas.openxmlformats.org/officeDocument/2006/relationships/hyperlink" Target="https://thuvienphapluat.vn/van-ban/thue-phi-le-phi/nghi-dinh-81-2021-nd-cp-quan-ly-hoc-phi-doi-voi-co-so-giao-duc-thuoc-he-thong-giao-duc-quoc-dan-45739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nghi-dinh-81-2021-nd-cp-quan-ly-hoc-phi-doi-voi-co-so-giao-duc-thuoc-he-thong-giao-duc-quoc-dan-457392.aspx" TargetMode="External"/><Relationship Id="rId11" Type="http://schemas.openxmlformats.org/officeDocument/2006/relationships/fontTable" Target="fontTable.xml"/><Relationship Id="rId5" Type="http://schemas.openxmlformats.org/officeDocument/2006/relationships/hyperlink" Target="https://thuvienphapluat.vn/van-ban/thue-phi-le-phi/nghi-dinh-81-2021-nd-cp-quan-ly-hoc-phi-doi-voi-co-so-giao-duc-thuoc-he-thong-giao-duc-quoc-dan-457392.aspx" TargetMode="External"/><Relationship Id="rId10" Type="http://schemas.openxmlformats.org/officeDocument/2006/relationships/hyperlink" Target="https://thuvienphapluat.vn/van-ban/thue-phi-le-phi/nghi-dinh-81-2021-nd-cp-quan-ly-hoc-phi-doi-voi-co-so-giao-duc-thuoc-he-thong-giao-duc-quoc-dan-457392.aspx" TargetMode="External"/><Relationship Id="rId4" Type="http://schemas.openxmlformats.org/officeDocument/2006/relationships/webSettings" Target="webSettings.xml"/><Relationship Id="rId9" Type="http://schemas.openxmlformats.org/officeDocument/2006/relationships/hyperlink" Target="https://thuvienphapluat.vn/van-ban/thue-phi-le-phi/nghi-quyet-05-2021-nq-hdnd-muc-thu-hoc-phi-doi-voi-cac-co-so-giao-duc-mam-non-ha-noi-4906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1740</Words>
  <Characters>9919</Characters>
  <Application>Microsoft Office Word</Application>
  <DocSecurity>0</DocSecurity>
  <Lines>82</Lines>
  <Paragraphs>23</Paragraphs>
  <ScaleCrop>false</ScaleCrop>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2022-09-28T03:49:00Z</dcterms:created>
  <dcterms:modified xsi:type="dcterms:W3CDTF">2022-09-28T03:51:00Z</dcterms:modified>
</cp:coreProperties>
</file>