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F6" w:rsidRPr="00E96DA9" w:rsidRDefault="00E96DA9" w:rsidP="00E96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DA9">
        <w:rPr>
          <w:rFonts w:ascii="Times New Roman" w:hAnsi="Times New Roman" w:cs="Times New Roman"/>
          <w:b/>
          <w:sz w:val="28"/>
          <w:szCs w:val="28"/>
        </w:rPr>
        <w:t>SÂN CHƠI CUỐI TUẦN CHO HỌC SINH</w:t>
      </w:r>
    </w:p>
    <w:p w:rsidR="00E96DA9" w:rsidRDefault="00E96DA9" w:rsidP="00E96D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96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6DA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6DA9" w:rsidRPr="00E96DA9" w:rsidRDefault="00E96DA9" w:rsidP="00E96DA9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6DA9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ra.</w:t>
      </w:r>
      <w:proofErr w:type="spellEnd"/>
      <w:proofErr w:type="gram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>.</w:t>
      </w:r>
      <w:r w:rsidRPr="00E96D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96DA9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6DA9">
        <w:rPr>
          <w:rFonts w:ascii="Times New Roman" w:hAnsi="Times New Roman" w:cs="Times New Roman"/>
          <w:sz w:val="28"/>
          <w:szCs w:val="28"/>
        </w:rPr>
        <w:t xml:space="preserve"> con.</w:t>
      </w:r>
      <w:proofErr w:type="gramEnd"/>
      <w:r w:rsidRPr="00E96D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96DA9" w:rsidRDefault="00E96DA9" w:rsidP="00E96DA9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6DA9">
        <w:rPr>
          <w:rFonts w:ascii="Times New Roman" w:hAnsi="Times New Roman" w:cs="Times New Roman"/>
          <w:b/>
          <w:i/>
          <w:sz w:val="28"/>
          <w:szCs w:val="28"/>
        </w:rPr>
        <w:t>MỘT SỐ HÌNH ẢNH HOẠT ĐỘNG</w:t>
      </w:r>
    </w:p>
    <w:p w:rsidR="00E96DA9" w:rsidRDefault="00E96DA9" w:rsidP="00E96DA9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989818" cy="252901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choi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818" cy="252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DA9" w:rsidRDefault="00E96DA9" w:rsidP="001400D5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4497859" cy="33733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707" cy="337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D5" w:rsidRPr="00E96DA9" w:rsidRDefault="001400D5" w:rsidP="001400D5">
      <w:pPr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9526" cy="3435179"/>
            <wp:effectExtent l="0" t="0" r="0" b="0"/>
            <wp:docPr id="3" name="Picture 3" descr="D: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589" cy="343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00D5" w:rsidRPr="00E96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A9"/>
    <w:rsid w:val="001400D5"/>
    <w:rsid w:val="006965F6"/>
    <w:rsid w:val="00E9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</dc:creator>
  <cp:lastModifiedBy>nhi</cp:lastModifiedBy>
  <cp:revision>1</cp:revision>
  <dcterms:created xsi:type="dcterms:W3CDTF">2020-07-07T01:02:00Z</dcterms:created>
  <dcterms:modified xsi:type="dcterms:W3CDTF">2020-07-07T01:16:00Z</dcterms:modified>
</cp:coreProperties>
</file>